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3163"/>
          <w:sz w:val="36"/>
          <w:szCs w:val="36"/>
          <w:u w:val="double"/>
        </w:rPr>
      </w:pPr>
      <w:r>
        <w:rPr>
          <w:rFonts w:hint="eastAsia" w:ascii="黑体" w:hAnsi="黑体" w:eastAsia="黑体" w:cs="黑体"/>
          <w:color w:val="003163"/>
          <w:sz w:val="36"/>
          <w:szCs w:val="36"/>
          <w:u w:val="double"/>
        </w:rPr>
        <w:t>进料装置订货问卷表</w:t>
      </w:r>
    </w:p>
    <w:p>
      <w:pPr>
        <w:adjustRightInd w:val="0"/>
        <w:snapToGrid w:val="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中国  </w:t>
      </w:r>
      <w:r>
        <w:rPr>
          <w:rFonts w:hint="eastAsia" w:ascii="宋体" w:hAnsi="宋体" w:eastAsia="宋体" w:cs="宋体"/>
          <w:b/>
          <w:color w:val="0000FF"/>
          <w:sz w:val="21"/>
          <w:szCs w:val="21"/>
        </w:rPr>
        <w:t>江苏万宝机械有限公司</w:t>
      </w:r>
      <w:r>
        <w:rPr>
          <w:rFonts w:hint="eastAsia" w:ascii="宋体" w:hAnsi="宋体" w:eastAsia="宋体" w:cs="宋体"/>
          <w:sz w:val="21"/>
          <w:szCs w:val="21"/>
        </w:rPr>
        <w:t xml:space="preserve">  江苏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网站：www.jswbjx.com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地  址：江苏海安工业园区通港路88号      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邮编： 226600    电话：（+86）0513-88789218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销售热线：0-15996596888          0-13382351888</w:t>
      </w:r>
    </w:p>
    <w:p>
      <w:pPr>
        <w:jc w:val="right"/>
      </w:pPr>
      <w:r>
        <w:rPr>
          <w:rFonts w:hint="eastAsia" w:ascii="宋体" w:hAnsi="宋体" w:eastAsia="宋体" w:cs="宋体"/>
          <w:sz w:val="21"/>
          <w:szCs w:val="21"/>
        </w:rPr>
        <w:t>传真： 0513-88786788   信箱： js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"mailto:wbgyp@163.com"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wbgyp@163.com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jc w:val="left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尊敬的女士/先生：</w:t>
      </w:r>
    </w:p>
    <w:p>
      <w:pPr>
        <w:ind w:firstLine="640" w:firstLineChars="200"/>
        <w:jc w:val="left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很高兴为您服务，请提供下列数据，便于我们为您设计您所需要的进料装置方案。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i w:val="0"/>
          <w:iCs w:val="0"/>
          <w:color w:val="00316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</w:rPr>
        <w:t>客户信息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518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公司名称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国籍地址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电    话</w:t>
            </w:r>
          </w:p>
        </w:tc>
        <w:tc>
          <w:tcPr>
            <w:tcW w:w="2876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传    真</w:t>
            </w:r>
          </w:p>
        </w:tc>
        <w:tc>
          <w:tcPr>
            <w:tcW w:w="274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网    址</w:t>
            </w:r>
          </w:p>
        </w:tc>
        <w:tc>
          <w:tcPr>
            <w:tcW w:w="2876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联 系 人</w:t>
            </w:r>
          </w:p>
        </w:tc>
        <w:tc>
          <w:tcPr>
            <w:tcW w:w="274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信    箱</w:t>
            </w:r>
          </w:p>
        </w:tc>
        <w:tc>
          <w:tcPr>
            <w:tcW w:w="2876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电    话</w:t>
            </w:r>
          </w:p>
        </w:tc>
        <w:tc>
          <w:tcPr>
            <w:tcW w:w="274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使用港口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港口地址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预计项目开始时间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表一：《设备基本参数表》</w:t>
      </w:r>
    </w:p>
    <w:tbl>
      <w:tblPr>
        <w:tblStyle w:val="8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134"/>
        <w:gridCol w:w="2409"/>
        <w:gridCol w:w="1134"/>
        <w:gridCol w:w="1276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2"/>
            <w:shd w:val="clear" w:color="auto" w:fill="00B05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1"/>
                <w:szCs w:val="21"/>
              </w:rPr>
              <w:t>设备参数.</w:t>
            </w:r>
          </w:p>
        </w:tc>
        <w:tc>
          <w:tcPr>
            <w:tcW w:w="6103" w:type="dxa"/>
            <w:gridSpan w:val="4"/>
            <w:shd w:val="clear" w:color="auto" w:fill="FFC000"/>
            <w:vAlign w:val="center"/>
          </w:tcPr>
          <w:p>
            <w:pPr>
              <w:pStyle w:val="2"/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1"/>
                <w:szCs w:val="21"/>
                <w:lang w:eastAsia="zh-CN"/>
              </w:rPr>
              <w:t>材料参数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堆积高度 - A (m)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用途简述：</w:t>
            </w:r>
          </w:p>
        </w:tc>
        <w:tc>
          <w:tcPr>
            <w:tcW w:w="2409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物料密度（吨/立方米）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18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安息角 (度)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处理能力（吨/小时）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含水率 (%)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粒度 (毫米)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最大粒度（毫米）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表二：《进料方式表》</w:t>
      </w:r>
    </w:p>
    <w:tbl>
      <w:tblPr>
        <w:tblStyle w:val="8"/>
        <w:tblW w:w="98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701"/>
        <w:gridCol w:w="1701"/>
        <w:gridCol w:w="1701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2" w:type="dxa"/>
            <w:gridSpan w:val="5"/>
            <w:shd w:val="clear" w:color="auto" w:fill="92D05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1"/>
                <w:szCs w:val="21"/>
              </w:rPr>
              <w:t>物料输送到堆料机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943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物料输送由 –</w:t>
            </w:r>
          </w:p>
        </w:tc>
        <w:tc>
          <w:tcPr>
            <w:tcW w:w="1701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自卸卡车</w:t>
            </w:r>
          </w:p>
        </w:tc>
        <w:tc>
          <w:tcPr>
            <w:tcW w:w="1701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装载机</w:t>
            </w:r>
          </w:p>
        </w:tc>
        <w:tc>
          <w:tcPr>
            <w:tcW w:w="1701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传送带</w:t>
            </w:r>
          </w:p>
        </w:tc>
        <w:tc>
          <w:tcPr>
            <w:tcW w:w="1806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43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尺寸或能力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说明：如采用自卸卡车向进料装置进料，请填写表三《自卸卡车数据表》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drawing>
          <wp:inline distT="0" distB="0" distL="0" distR="0">
            <wp:extent cx="5090160" cy="2461260"/>
            <wp:effectExtent l="0" t="0" r="0" b="0"/>
            <wp:docPr id="1" name="图片框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框 10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" t="5156" r="1486" b="36472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表三：《自卸卡车数据表》</w:t>
      </w:r>
    </w:p>
    <w:tbl>
      <w:tblPr>
        <w:tblStyle w:val="8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069"/>
        <w:gridCol w:w="2070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尺寸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卡车1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卡车2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卡车3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车身宽度（mm）A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B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C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D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E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F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H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I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J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K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自重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载重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当您提供了表一、表二、表三后我公司将为您提供堆料机初步方案，如您对表四、表五所列内容有特殊要求，请预先注明，或我公司提供方案后进行确认。</w:t>
      </w:r>
    </w:p>
    <w:p>
      <w:pPr>
        <w:jc w:val="center"/>
        <w:outlineLvl w:val="0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表四：《进料装置参数确认表》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</w:p>
    <w:tbl>
      <w:tblPr>
        <w:tblStyle w:val="8"/>
        <w:tblW w:w="98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799"/>
        <w:gridCol w:w="1559"/>
        <w:gridCol w:w="184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52" w:type="dxa"/>
            <w:gridSpan w:val="5"/>
            <w:shd w:val="clear" w:color="auto" w:fill="92D05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sz w:val="24"/>
                <w:szCs w:val="24"/>
              </w:rPr>
              <w:t>堆料机参数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技术参数名称</w:t>
            </w:r>
          </w:p>
        </w:tc>
        <w:tc>
          <w:tcPr>
            <w:tcW w:w="1799" w:type="dxa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客户要求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设计参数</w:t>
            </w: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确认参数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收料斗长度 - A. (m)</w:t>
            </w:r>
          </w:p>
        </w:tc>
        <w:tc>
          <w:tcPr>
            <w:tcW w:w="1799" w:type="dxa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收料斗宽度 -E(m)</w:t>
            </w:r>
          </w:p>
        </w:tc>
        <w:tc>
          <w:tcPr>
            <w:tcW w:w="1799" w:type="dxa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表五：《进料装置系统配置表》</w:t>
      </w:r>
    </w:p>
    <w:tbl>
      <w:tblPr>
        <w:tblStyle w:val="8"/>
        <w:tblW w:w="9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27"/>
        <w:gridCol w:w="883"/>
        <w:gridCol w:w="1843"/>
        <w:gridCol w:w="1003"/>
        <w:gridCol w:w="1516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05" w:type="dxa"/>
            <w:gridSpan w:val="7"/>
            <w:shd w:val="clear" w:color="auto" w:fill="92D050"/>
            <w:vAlign w:val="center"/>
          </w:tcPr>
          <w:p>
            <w:pPr>
              <w:keepNext/>
              <w:widowControl/>
              <w:spacing w:before="62" w:beforeLines="20" w:after="62" w:afterLines="20"/>
              <w:jc w:val="center"/>
              <w:outlineLvl w:val="4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kern w:val="0"/>
                <w:sz w:val="21"/>
                <w:szCs w:val="21"/>
                <w:lang w:val="en-GB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/>
                <w:kern w:val="0"/>
                <w:sz w:val="21"/>
                <w:szCs w:val="21"/>
                <w:lang w:val="en-GB"/>
              </w:rPr>
              <w:t>系统配置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电    源</w:t>
            </w:r>
          </w:p>
        </w:tc>
        <w:tc>
          <w:tcPr>
            <w:tcW w:w="1527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柴油发电机组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市  电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市    电</w:t>
            </w:r>
          </w:p>
        </w:tc>
        <w:tc>
          <w:tcPr>
            <w:tcW w:w="1527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电压等级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频率等级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移动方式</w:t>
            </w:r>
          </w:p>
        </w:tc>
        <w:tc>
          <w:tcPr>
            <w:tcW w:w="1527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牵    引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自    驱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半自驱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粉尘控制</w:t>
            </w:r>
          </w:p>
        </w:tc>
        <w:tc>
          <w:tcPr>
            <w:tcW w:w="1527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无要求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密  闭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除  尘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防尘方式</w:t>
            </w:r>
          </w:p>
        </w:tc>
        <w:tc>
          <w:tcPr>
            <w:tcW w:w="1527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除尘器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防尘罩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水喷淋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溜槽内衬</w:t>
            </w:r>
          </w:p>
        </w:tc>
        <w:tc>
          <w:tcPr>
            <w:tcW w:w="1527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耐  磨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普  通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耐腐蚀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9505" w:type="dxa"/>
            <w:gridSpan w:val="7"/>
            <w:shd w:val="clear" w:color="auto" w:fill="92D050"/>
            <w:vAlign w:val="center"/>
          </w:tcPr>
          <w:p>
            <w:pPr>
              <w:spacing w:before="2" w:after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其他要求.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05" w:type="dxa"/>
            <w:gridSpan w:val="7"/>
            <w:shd w:val="clear" w:color="auto" w:fill="FFFFFF"/>
            <w:vAlign w:val="center"/>
          </w:tcPr>
          <w:p>
            <w:pPr>
              <w:spacing w:before="3" w:after="3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bookmarkEnd w:id="0"/>
    </w:tbl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说明：</w:t>
      </w:r>
    </w:p>
    <w:p>
      <w:pPr>
        <w:pStyle w:val="16"/>
        <w:numPr>
          <w:ilvl w:val="0"/>
          <w:numId w:val="1"/>
        </w:numPr>
        <w:adjustRightInd w:val="0"/>
        <w:snapToGrid w:val="0"/>
        <w:ind w:left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系统供电可配套柴油发电机组，也可使用岸电，或两者皆配，请注明配套要求。</w:t>
      </w:r>
    </w:p>
    <w:p>
      <w:pPr>
        <w:pStyle w:val="16"/>
        <w:numPr>
          <w:ilvl w:val="0"/>
          <w:numId w:val="1"/>
        </w:numPr>
        <w:adjustRightInd w:val="0"/>
        <w:snapToGrid w:val="0"/>
        <w:ind w:left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本地的环保要求一定要注明，以便设计时考虑防尘措施，如加设除尘器、防尘罩、消音器等。</w:t>
      </w:r>
    </w:p>
    <w:p>
      <w:pPr>
        <w:pStyle w:val="16"/>
        <w:numPr>
          <w:ilvl w:val="0"/>
          <w:numId w:val="1"/>
        </w:numPr>
        <w:adjustRightInd w:val="0"/>
        <w:snapToGrid w:val="0"/>
        <w:ind w:left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</w:rPr>
        <w:t>在输送段可根据需要加设除铁器。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  <w:t>案例</w:t>
      </w:r>
    </w:p>
    <w:tbl>
      <w:tblPr>
        <w:tblStyle w:val="8"/>
        <w:tblW w:w="833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9"/>
        <w:gridCol w:w="4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4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参考图片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28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598420" cy="1948815"/>
                  <wp:effectExtent l="0" t="0" r="0" b="0"/>
                  <wp:docPr id="3" name="图片 3" descr="F:\网站\产品资料\堆场设备\进料装置\Carboneras-Coal-Truck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\网站\产品资料\堆场设备\进料装置\Carboneras-Coal-Truck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20" cy="194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475230" cy="1855470"/>
                  <wp:effectExtent l="0" t="0" r="1270" b="0"/>
                  <wp:docPr id="4" name="图片 4" descr="F:\网站\产品资料\堆场设备\进料装置\Mostostal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网站\产品资料\堆场设备\进料装置\Mostostal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195" cy="187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28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498090" cy="1872615"/>
                  <wp:effectExtent l="0" t="0" r="0" b="0"/>
                  <wp:docPr id="5" name="图片 5" descr="F:\网站\产品资料\堆场设备\进料装置\Oborg-Crus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:\网站\产品资料\堆场设备\进料装置\Oborg-Crus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35" cy="191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438400" cy="1642110"/>
                  <wp:effectExtent l="0" t="0" r="0" b="0"/>
                  <wp:docPr id="6" name="图片 6" descr="F:\网站\产品资料\堆场设备\进料装置\Power-Plant-0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:\网站\产品资料\堆场设备\进料装置\Power-Plant-0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995" cy="165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28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528570" cy="1896110"/>
                  <wp:effectExtent l="0" t="0" r="5080" b="8890"/>
                  <wp:docPr id="7" name="图片 7" descr="F:\网站\产品资料\堆场设备\进料装置\Salonit-Samson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:\网站\产品资料\堆场设备\进料装置\Salonit-Samson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203" cy="191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466975" cy="1849755"/>
                  <wp:effectExtent l="0" t="0" r="0" b="0"/>
                  <wp:docPr id="8" name="图片 8" descr="F:\网站\产品资料\堆场设备\进料装置\Sludge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:\网站\产品资料\堆场设备\进料装置\Sludge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822" cy="1867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28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636520" cy="1514475"/>
                  <wp:effectExtent l="0" t="0" r="0" b="9525"/>
                  <wp:docPr id="10" name="图片 10" descr="F:\网站\产品资料\堆场设备\进料装置\地面进料装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:\网站\产品资料\堆场设备\进料装置\地面进料装置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882" cy="1531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0" distR="0">
                  <wp:extent cx="2316480" cy="990600"/>
                  <wp:effectExtent l="0" t="0" r="7620" b="0"/>
                  <wp:docPr id="11" name="图片 11" descr="F:\网站\产品资料\堆场设备\进料装置\码头输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:\网站\产品资料\堆场设备\进料装置\码头输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371" cy="100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napToGrid w:val="0"/>
        <w:ind w:firstLine="420" w:firstLineChars="0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  <w:t>无深坑、无地下漏斗、无浩大土建工程、选址灵活、整体设备、可直接从卡车接收物料、快速卡车卸货、可直接从铲车接收物料、输送速度可控、灰尘量减少、处理干燥多尘材料、无堵塞风险、能源消耗较少、维修简便、方便管理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  <w:t>常规地下漏斗，物料经自由下落后分为小块，产生灰尘，落料后会有微粒分离并高速产生置换空气。置换气体以高速从漏斗挤出微粒造成极大扬尘污染，带来环境，健康及安全隐患。</w:t>
      </w:r>
    </w:p>
    <w:p>
      <w:pPr>
        <w:adjustRightInd w:val="0"/>
        <w:snapToGrid w:val="0"/>
        <w:ind w:firstLine="420" w:firstLineChars="0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zh-CN"/>
        </w:rPr>
        <w:t>物料的落料高度近乎零，避免微粒分离，从而从根源上避免了粉尘污染。只有当处理灰尘量最大的材料 (如水泥熟料 ) 时，才有必要除尘，所以操作仅需相对较少的气体量，通常仅需常规深漏斗操作速度的25%，从而减少了资金消耗及远期操作费用。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KJAKPB+Arial,Bold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 w:ascii="宋体" w:hAnsi="宋体" w:eastAsia="宋体" w:cs="宋体"/>
        <w:b/>
        <w:bCs/>
        <w:color w:val="FF0000"/>
        <w:sz w:val="18"/>
        <w:szCs w:val="18"/>
      </w:rPr>
    </w:pPr>
    <w: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66040</wp:posOffset>
          </wp:positionH>
          <wp:positionV relativeFrom="margin">
            <wp:posOffset>-435610</wp:posOffset>
          </wp:positionV>
          <wp:extent cx="538480" cy="415290"/>
          <wp:effectExtent l="0" t="0" r="13970" b="3810"/>
          <wp:wrapSquare wrapText="bothSides"/>
          <wp:docPr id="1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48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Bdr>
        <w:bottom w:val="none" w:color="auto" w:sz="0" w:space="0"/>
      </w:pBdr>
      <w:rPr>
        <w:rFonts w:hint="eastAsia" w:ascii="宋体" w:hAnsi="宋体" w:eastAsia="宋体" w:cs="宋体"/>
        <w:color w:val="auto"/>
        <w:sz w:val="18"/>
        <w:szCs w:val="18"/>
      </w:rPr>
    </w:pPr>
    <w:r>
      <w:rPr>
        <w:rFonts w:hint="eastAsia" w:ascii="宋体" w:hAnsi="宋体" w:cs="宋体"/>
        <w:b/>
        <w:bCs/>
        <w:color w:val="auto"/>
        <w:sz w:val="18"/>
        <w:szCs w:val="18"/>
        <w:lang w:val="en-US" w:eastAsia="zh-CN"/>
      </w:rPr>
      <w:t xml:space="preserve">                       </w:t>
    </w:r>
    <w:r>
      <w:rPr>
        <w:rFonts w:hint="eastAsia" w:ascii="宋体" w:hAnsi="宋体" w:eastAsia="宋体" w:cs="宋体"/>
        <w:b/>
        <w:bCs/>
        <w:color w:val="auto"/>
        <w:sz w:val="18"/>
        <w:szCs w:val="18"/>
      </w:rPr>
      <w:t xml:space="preserve">港口机械           </w:t>
    </w:r>
    <w:r>
      <w:rPr>
        <w:rFonts w:hint="eastAsia" w:ascii="宋体" w:hAnsi="宋体" w:cs="宋体"/>
        <w:b/>
        <w:bCs/>
        <w:color w:val="auto"/>
        <w:sz w:val="18"/>
        <w:szCs w:val="18"/>
        <w:lang w:val="en-US" w:eastAsia="zh-CN"/>
      </w:rPr>
      <w:t xml:space="preserve">                        </w:t>
    </w:r>
    <w:r>
      <w:rPr>
        <w:rFonts w:hint="eastAsia" w:ascii="宋体" w:hAnsi="宋体" w:eastAsia="宋体" w:cs="宋体"/>
        <w:b/>
        <w:bCs/>
        <w:color w:val="auto"/>
        <w:sz w:val="18"/>
        <w:szCs w:val="18"/>
      </w:rPr>
      <w:t>设计技术选型</w:t>
    </w: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0B39"/>
    <w:multiLevelType w:val="multilevel"/>
    <w:tmpl w:val="4CF10B39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93"/>
    <w:rsid w:val="00044216"/>
    <w:rsid w:val="00061C34"/>
    <w:rsid w:val="000B3E77"/>
    <w:rsid w:val="000E37C3"/>
    <w:rsid w:val="00227506"/>
    <w:rsid w:val="00256593"/>
    <w:rsid w:val="00353C91"/>
    <w:rsid w:val="004200F0"/>
    <w:rsid w:val="004A3E63"/>
    <w:rsid w:val="005A718A"/>
    <w:rsid w:val="00635061"/>
    <w:rsid w:val="00655245"/>
    <w:rsid w:val="006604F5"/>
    <w:rsid w:val="00692436"/>
    <w:rsid w:val="007A57AB"/>
    <w:rsid w:val="008B7E1F"/>
    <w:rsid w:val="009C332D"/>
    <w:rsid w:val="00A43F30"/>
    <w:rsid w:val="00A72E2B"/>
    <w:rsid w:val="00A76DBD"/>
    <w:rsid w:val="00A77E5E"/>
    <w:rsid w:val="00B7564A"/>
    <w:rsid w:val="00BD134C"/>
    <w:rsid w:val="00C20DE6"/>
    <w:rsid w:val="00DD100D"/>
    <w:rsid w:val="00F136EC"/>
    <w:rsid w:val="00FB6665"/>
    <w:rsid w:val="62B2003C"/>
    <w:rsid w:val="7EEB1D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unhideWhenUsed="0" w:uiPriority="0" w:semiHidden="0" w:name="heading 4"/>
    <w:lsdException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uiPriority w:val="0"/>
    <w:pPr>
      <w:keepNext/>
      <w:widowControl/>
      <w:jc w:val="left"/>
      <w:outlineLvl w:val="3"/>
    </w:pPr>
    <w:rPr>
      <w:rFonts w:ascii="Arial" w:hAnsi="Arial"/>
      <w:b/>
      <w:sz w:val="22"/>
      <w:lang w:eastAsia="en-US"/>
    </w:rPr>
  </w:style>
  <w:style w:type="paragraph" w:styleId="3">
    <w:name w:val="heading 5"/>
    <w:basedOn w:val="1"/>
    <w:next w:val="1"/>
    <w:link w:val="11"/>
    <w:uiPriority w:val="0"/>
    <w:pPr>
      <w:keepNext/>
      <w:widowControl/>
      <w:jc w:val="center"/>
      <w:outlineLvl w:val="4"/>
    </w:pPr>
    <w:rPr>
      <w:rFonts w:ascii="Arial" w:hAnsi="Arial"/>
      <w:b/>
      <w:sz w:val="22"/>
      <w:lang w:eastAsia="en-US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jc w:val="both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0">
    <w:name w:val="标题 4 Char"/>
    <w:link w:val="2"/>
    <w:semiHidden/>
    <w:uiPriority w:val="0"/>
    <w:rPr>
      <w:rFonts w:ascii="Arial" w:hAnsi="Arial"/>
      <w:b/>
      <w:sz w:val="22"/>
      <w:lang w:eastAsia="en-US"/>
    </w:rPr>
  </w:style>
  <w:style w:type="character" w:customStyle="1" w:styleId="11">
    <w:name w:val="标题 5 Char"/>
    <w:link w:val="3"/>
    <w:semiHidden/>
    <w:uiPriority w:val="0"/>
    <w:rPr>
      <w:rFonts w:ascii="Arial" w:hAnsi="Arial"/>
      <w:b/>
      <w:sz w:val="22"/>
      <w:lang w:eastAsia="en-US"/>
    </w:rPr>
  </w:style>
  <w:style w:type="character" w:customStyle="1" w:styleId="12">
    <w:name w:val="批注框文本 Char"/>
    <w:link w:val="4"/>
    <w:semiHidden/>
    <w:uiPriority w:val="0"/>
    <w:rPr>
      <w:sz w:val="18"/>
      <w:szCs w:val="18"/>
    </w:rPr>
  </w:style>
  <w:style w:type="character" w:customStyle="1" w:styleId="13">
    <w:name w:val="页脚 Char"/>
    <w:link w:val="5"/>
    <w:semiHidden/>
    <w:qFormat/>
    <w:uiPriority w:val="0"/>
    <w:rPr>
      <w:sz w:val="18"/>
      <w:szCs w:val="18"/>
    </w:rPr>
  </w:style>
  <w:style w:type="character" w:customStyle="1" w:styleId="14">
    <w:name w:val="页眉 Char"/>
    <w:link w:val="6"/>
    <w:semiHidden/>
    <w:uiPriority w:val="0"/>
    <w:rPr>
      <w:sz w:val="18"/>
      <w:szCs w:val="18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  <w:spacing w:after="495" w:line="380" w:lineRule="atLeast"/>
      <w:jc w:val="both"/>
    </w:pPr>
    <w:rPr>
      <w:rFonts w:ascii="KJAKPB+Arial,Bold" w:hAnsi="KJAKPB+Arial,Bold" w:eastAsia="KJAKPB+Arial,Bold" w:cs="KJAKPB+Arial,Bold"/>
      <w:color w:val="000000"/>
      <w:sz w:val="24"/>
      <w:szCs w:val="24"/>
      <w:lang w:val="zh-CN" w:eastAsia="zh-CN" w:bidi="ar-SA"/>
    </w:rPr>
  </w:style>
  <w:style w:type="paragraph" w:customStyle="1" w:styleId="16">
    <w:name w:val="列出段落1"/>
    <w:basedOn w:val="1"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224</Words>
  <Characters>1277</Characters>
  <Lines>10</Lines>
  <Paragraphs>2</Paragraphs>
  <ScaleCrop>false</ScaleCrop>
  <LinksUpToDate>false</LinksUpToDate>
  <CharactersWithSpaces>1499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2016-10-15T02:15:00Z</dcterms:created>
  <dc:creator>USER</dc:creator>
  <cp:lastModifiedBy>Administrator</cp:lastModifiedBy>
  <dcterms:modified xsi:type="dcterms:W3CDTF">2016-10-21T02:13:11Z</dcterms:modified>
  <dc:title>港口机械           设计技术选型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